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b w:val="1"/>
          <w:sz w:val="20"/>
          <w:rtl w:val="0"/>
        </w:rPr>
        <w:t xml:space="preserve">Child Development - RAFT Criteria List</w:t>
      </w:r>
    </w:p>
    <w:p w:rsidP="00000000" w:rsidRPr="00000000" w:rsidR="00000000" w:rsidDel="00000000" w:rsidRDefault="00000000">
      <w:pPr>
        <w:rPr/>
      </w:pPr>
      <w:r w:rsidRPr="00000000" w:rsidR="00000000" w:rsidDel="00000000">
        <w:rPr>
          <w:sz w:val="20"/>
          <w:rtl w:val="0"/>
        </w:rPr>
        <w:t xml:space="preserve"> </w:t>
      </w:r>
    </w:p>
    <w:p w:rsidP="00000000" w:rsidRPr="00000000" w:rsidR="00000000" w:rsidDel="00000000" w:rsidRDefault="00000000">
      <w:pPr/>
      <w:r w:rsidRPr="00000000" w:rsidR="00000000" w:rsidDel="00000000">
        <w:rPr>
          <w:sz w:val="20"/>
          <w:rtl w:val="0"/>
        </w:rPr>
        <w:t xml:space="preserve">Students will analyze and explain the positive and negative effects of t</w:t>
      </w:r>
      <w:r w:rsidRPr="00000000" w:rsidR="00000000" w:rsidDel="00000000">
        <w:rPr>
          <w:sz w:val="20"/>
          <w:rtl w:val="0"/>
        </w:rPr>
        <w:t xml:space="preserve">he relationship between prenatal care, the health of the pregnant woman, and the health of a fetus</w:t>
      </w:r>
      <w:r w:rsidRPr="00000000" w:rsidR="00000000" w:rsidDel="00000000">
        <w:rPr>
          <w:sz w:val="20"/>
          <w:rtl w:val="0"/>
        </w:rPr>
        <w:t xml:space="preserve"> by completing a writing assignment using the RAFT technique (RAFT stands for: R = Role, A = Audience, F = Format, T = Topic). In their writing students will take on the following role, etc. (R = Role: Fetus, A = Audience: Mom, F = Format: Letter, T = Topic: Prenatal Care.) Students are to write a letter as a fetus to its’ mom about prenatal care. They need to identify what they want their mom to do or avoid while she is pregnant with them and why.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rtl w:val="0"/>
        </w:rPr>
        <w:t xml:space="preserve">After reading the RAFT assignment, use the following criteria list to assess student work. Circle the number for each criteria item that has been included (2 points each) and explanation given (rated from 0 to 3, dependent upon completeness of explanation; 0 = no explanation given to 3 = best explanation given). Add the points circled to figure total student grade.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sz w:val="20"/>
          <w:rtl w:val="0"/>
        </w:rPr>
        <w:t xml:space="preserve">Student Name ____________________________________________ Class Period ____________________</w:t>
      </w:r>
    </w:p>
    <w:p w:rsidP="00000000" w:rsidRPr="00000000" w:rsidR="00000000" w:rsidDel="00000000" w:rsidRDefault="00000000">
      <w:pPr>
        <w:rPr/>
      </w:pPr>
      <w:r w:rsidRPr="00000000" w:rsidR="00000000" w:rsidDel="00000000">
        <w:rPr>
          <w:sz w:val="20"/>
          <w:rtl w:val="0"/>
        </w:rPr>
        <w:t xml:space="preserve"> </w:t>
      </w:r>
    </w:p>
    <w:tbl>
      <w:tblPr>
        <w:tblW w:w="93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130"/>
        <w:gridCol w:w="1820"/>
        <w:gridCol w:w="3380"/>
        <w:gridCol w:w="10"/>
        <w:gridCol w:w="10"/>
        <w:gridCol w:w="10"/>
      </w:tblGrid>
      <w:tr>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b w:val="1"/>
                <w:sz w:val="20"/>
                <w:rtl w:val="0"/>
              </w:rPr>
              <w:t xml:space="preserve">Prenatal Care Criteria Items</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b w:val="1"/>
                <w:sz w:val="20"/>
                <w:rtl w:val="0"/>
              </w:rPr>
              <w:t xml:space="preserve">Inclusion in RAFT Letter</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b w:val="1"/>
                <w:sz w:val="20"/>
                <w:rtl w:val="0"/>
              </w:rPr>
              <w:t xml:space="preserve">Explanation of Impact on Developing Fetus</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Medical Care</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Nutrition</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Stress Management</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Proper Rest</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Exercise</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Avoidance of alcohol</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Avoidance of tobacco</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Prescription Medications</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Folic Acid</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Proper Immunizations</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Appropriate weight gain</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Impact of hereditary and environment</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jc w:val="center"/>
              <w:rPr/>
            </w:pPr>
            <w:r w:rsidRPr="00000000" w:rsidR="00000000" w:rsidDel="00000000">
              <w:rPr>
                <w:sz w:val="20"/>
                <w:rtl w:val="0"/>
              </w:rPr>
              <w:t xml:space="preserve"> 0  1   2   3</w:t>
            </w:r>
          </w:p>
        </w:tc>
      </w:tr>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Other:</w:t>
            </w:r>
          </w:p>
        </w:tc>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 </w:t>
            </w:r>
          </w:p>
        </w:tc>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 </w:t>
            </w:r>
          </w:p>
        </w:tc>
      </w:tr>
    </w:tbl>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 w:rsidRPr="00000000" w:rsidR="00000000" w:rsidDel="00000000">
        <w:rPr>
          <w:sz w:val="20"/>
          <w:rtl w:val="0"/>
        </w:rPr>
        <w:t xml:space="preserve">  </w:t>
        <w:tab/>
        <w:tab/>
        <w:tab/>
        <w:tab/>
        <w:tab/>
        <w:tab/>
        <w:tab/>
        <w:tab/>
        <w:tab/>
        <w:t xml:space="preserve">Total Points _______/30</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SLO - Grading Assessment.docx</dc:title>
</cp:coreProperties>
</file>