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A3C09" w:rsidRDefault="007E1D87">
      <w:bookmarkStart w:id="0" w:name="_GoBack"/>
      <w:bookmarkEnd w:id="0"/>
      <w:r>
        <w:rPr>
          <w:b/>
        </w:rPr>
        <w:t>Jung Personality Testing</w:t>
      </w:r>
    </w:p>
    <w:p w:rsidR="002A3C09" w:rsidRDefault="002A3C09"/>
    <w:p w:rsidR="002A3C09" w:rsidRDefault="007E1D87">
      <w:r>
        <w:t>The test takes approximately 20 minutes.  Answer with the first response that comes to your mind.</w:t>
      </w:r>
    </w:p>
    <w:p w:rsidR="002A3C09" w:rsidRDefault="002A3C09"/>
    <w:p w:rsidR="002A3C09" w:rsidRDefault="007E1D87">
      <w:hyperlink r:id="rId5">
        <w:r>
          <w:rPr>
            <w:color w:val="1155CC"/>
            <w:u w:val="single"/>
          </w:rPr>
          <w:t>www.similarminds.com</w:t>
        </w:r>
      </w:hyperlink>
    </w:p>
    <w:p w:rsidR="002A3C09" w:rsidRDefault="002A3C09"/>
    <w:p w:rsidR="002A3C09" w:rsidRDefault="007E1D87">
      <w:r>
        <w:t>Look under personality test: Jung, short test (53 questions)</w:t>
      </w:r>
    </w:p>
    <w:p w:rsidR="002A3C09" w:rsidRDefault="002A3C09"/>
    <w:p w:rsidR="002A3C09" w:rsidRDefault="007E1D87">
      <w:r>
        <w:t xml:space="preserve">Students should not only write down the four different letters that make up their personality type, but also the percentages of each.  </w:t>
      </w:r>
      <w:r>
        <w:rPr>
          <w:highlight w:val="white"/>
        </w:rPr>
        <w:t>For the person that swears the test is wrong, they should look at their percentages.  Sometimes we have a public persona</w:t>
      </w:r>
      <w:r>
        <w:rPr>
          <w:highlight w:val="white"/>
        </w:rPr>
        <w:t xml:space="preserve"> and then again, a different private one.</w:t>
      </w:r>
      <w:r>
        <w:t xml:space="preserve">  Below is an example of test results:</w:t>
      </w:r>
    </w:p>
    <w:p w:rsidR="002A3C09" w:rsidRDefault="002A3C09"/>
    <w:p w:rsidR="002A3C09" w:rsidRDefault="007E1D87">
      <w:r>
        <w:rPr>
          <w:sz w:val="20"/>
          <w:shd w:val="clear" w:color="auto" w:fill="EEEEEE"/>
        </w:rPr>
        <w:t>Jung Test Results</w:t>
      </w:r>
    </w:p>
    <w:p w:rsidR="002A3C09" w:rsidRDefault="002A3C09"/>
    <w:tbl>
      <w:tblPr>
        <w:tblW w:w="0" w:type="auto"/>
        <w:tblInd w:w="9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69"/>
      </w:tblGrid>
      <w:tr w:rsidR="002A3C09">
        <w:tblPrEx>
          <w:tblCellMar>
            <w:top w:w="0" w:type="dxa"/>
            <w:bottom w:w="0" w:type="dxa"/>
          </w:tblCellMar>
        </w:tblPrEx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3C09" w:rsidRDefault="007E1D87">
            <w:pPr>
              <w:jc w:val="center"/>
            </w:pPr>
            <w:r>
              <w:rPr>
                <w:sz w:val="20"/>
              </w:rPr>
              <w:t>Extroverted (</w:t>
            </w:r>
            <w:r>
              <w:rPr>
                <w:b/>
                <w:sz w:val="20"/>
              </w:rPr>
              <w:t>E</w:t>
            </w:r>
            <w:r>
              <w:rPr>
                <w:sz w:val="20"/>
              </w:rPr>
              <w:t>) 69.44% Introverted (I) 30.56%</w:t>
            </w:r>
          </w:p>
          <w:p w:rsidR="002A3C09" w:rsidRDefault="007E1D87">
            <w:pPr>
              <w:jc w:val="center"/>
            </w:pPr>
            <w:r>
              <w:rPr>
                <w:sz w:val="20"/>
              </w:rPr>
              <w:t>Sensing (</w:t>
            </w:r>
            <w:r>
              <w:rPr>
                <w:b/>
                <w:sz w:val="20"/>
              </w:rPr>
              <w:t>S</w:t>
            </w:r>
            <w:r>
              <w:rPr>
                <w:sz w:val="20"/>
              </w:rPr>
              <w:t>) 64.86% Intuitive (N) 35.14%</w:t>
            </w:r>
          </w:p>
          <w:p w:rsidR="002A3C09" w:rsidRDefault="007E1D87">
            <w:pPr>
              <w:jc w:val="center"/>
            </w:pPr>
            <w:r>
              <w:rPr>
                <w:sz w:val="20"/>
              </w:rPr>
              <w:t>Thinking (</w:t>
            </w:r>
            <w:r>
              <w:rPr>
                <w:b/>
                <w:sz w:val="20"/>
              </w:rPr>
              <w:t>T</w:t>
            </w:r>
            <w:r>
              <w:rPr>
                <w:sz w:val="20"/>
              </w:rPr>
              <w:t>) 61.11% Feeling (F) 38.89%</w:t>
            </w:r>
          </w:p>
          <w:p w:rsidR="002A3C09" w:rsidRDefault="007E1D87">
            <w:pPr>
              <w:jc w:val="center"/>
            </w:pPr>
            <w:r>
              <w:rPr>
                <w:sz w:val="20"/>
              </w:rPr>
              <w:t>Perceiving (</w:t>
            </w:r>
            <w:r>
              <w:rPr>
                <w:b/>
                <w:sz w:val="20"/>
              </w:rPr>
              <w:t>P</w:t>
            </w:r>
            <w:r>
              <w:rPr>
                <w:sz w:val="20"/>
              </w:rPr>
              <w:t>) 54.29% Judging (</w:t>
            </w:r>
            <w:r>
              <w:rPr>
                <w:sz w:val="20"/>
              </w:rPr>
              <w:t>J) 45.71%</w:t>
            </w:r>
          </w:p>
        </w:tc>
      </w:tr>
    </w:tbl>
    <w:p w:rsidR="002A3C09" w:rsidRDefault="002A3C09"/>
    <w:p w:rsidR="002A3C09" w:rsidRDefault="007E1D87">
      <w:r>
        <w:rPr>
          <w:sz w:val="20"/>
          <w:shd w:val="clear" w:color="auto" w:fill="EEEEEE"/>
        </w:rPr>
        <w:t xml:space="preserve">Your type is: </w:t>
      </w:r>
      <w:r>
        <w:rPr>
          <w:b/>
          <w:sz w:val="48"/>
          <w:shd w:val="clear" w:color="auto" w:fill="EEEEEE"/>
        </w:rPr>
        <w:t>ESTP</w:t>
      </w:r>
    </w:p>
    <w:tbl>
      <w:tblPr>
        <w:tblW w:w="0" w:type="auto"/>
        <w:tblInd w:w="9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6"/>
      </w:tblGrid>
      <w:tr w:rsidR="002A3C09">
        <w:tblPrEx>
          <w:tblCellMar>
            <w:top w:w="0" w:type="dxa"/>
            <w:bottom w:w="0" w:type="dxa"/>
          </w:tblCellMar>
        </w:tblPrEx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3C09" w:rsidRDefault="002A3C09">
            <w:pPr>
              <w:ind w:left="-104" w:right="-8744"/>
            </w:pPr>
          </w:p>
        </w:tc>
      </w:tr>
    </w:tbl>
    <w:p w:rsidR="002A3C09" w:rsidRDefault="002A3C09"/>
    <w:tbl>
      <w:tblPr>
        <w:tblW w:w="0" w:type="auto"/>
        <w:tblInd w:w="9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70"/>
      </w:tblGrid>
      <w:tr w:rsidR="002A3C09">
        <w:tblPrEx>
          <w:tblCellMar>
            <w:top w:w="0" w:type="dxa"/>
            <w:bottom w:w="0" w:type="dxa"/>
          </w:tblCellMar>
        </w:tblPrEx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3C09" w:rsidRDefault="007E1D87">
            <w:pPr>
              <w:jc w:val="center"/>
            </w:pPr>
            <w:r>
              <w:rPr>
                <w:b/>
                <w:sz w:val="20"/>
                <w:shd w:val="clear" w:color="auto" w:fill="EEEEEE"/>
              </w:rPr>
              <w:t>ESTP</w:t>
            </w:r>
            <w:r>
              <w:rPr>
                <w:sz w:val="20"/>
                <w:shd w:val="clear" w:color="auto" w:fill="EEEEEE"/>
              </w:rPr>
              <w:t xml:space="preserve"> - "</w:t>
            </w:r>
            <w:proofErr w:type="spellStart"/>
            <w:r>
              <w:rPr>
                <w:sz w:val="20"/>
                <w:shd w:val="clear" w:color="auto" w:fill="EEEEEE"/>
              </w:rPr>
              <w:t>Promotor</w:t>
            </w:r>
            <w:proofErr w:type="spellEnd"/>
            <w:r>
              <w:rPr>
                <w:sz w:val="20"/>
                <w:shd w:val="clear" w:color="auto" w:fill="EEEEEE"/>
              </w:rPr>
              <w:t xml:space="preserve">". Action! When </w:t>
            </w:r>
            <w:proofErr w:type="spellStart"/>
            <w:r>
              <w:rPr>
                <w:sz w:val="20"/>
                <w:shd w:val="clear" w:color="auto" w:fill="EEEEEE"/>
              </w:rPr>
              <w:t>present</w:t>
            </w:r>
            <w:proofErr w:type="gramStart"/>
            <w:r>
              <w:rPr>
                <w:sz w:val="20"/>
                <w:shd w:val="clear" w:color="auto" w:fill="EEEEEE"/>
              </w:rPr>
              <w:t>,things</w:t>
            </w:r>
            <w:proofErr w:type="spellEnd"/>
            <w:proofErr w:type="gramEnd"/>
            <w:r>
              <w:rPr>
                <w:sz w:val="20"/>
                <w:shd w:val="clear" w:color="auto" w:fill="EEEEEE"/>
              </w:rPr>
              <w:t xml:space="preserve"> begin to happen. Fiercely competitive. Entrepreneur. Often uses shock effect to get attention. Negotiator par excellence. 4.3% of total population.</w:t>
            </w:r>
          </w:p>
          <w:p w:rsidR="002A3C09" w:rsidRDefault="002A3C09">
            <w:pPr>
              <w:jc w:val="center"/>
            </w:pPr>
          </w:p>
          <w:p w:rsidR="002A3C09" w:rsidRDefault="007E1D87">
            <w:r>
              <w:rPr>
                <w:sz w:val="20"/>
                <w:shd w:val="clear" w:color="auto" w:fill="EEEEEE"/>
              </w:rPr>
              <w:t>Next, BING the four letters that make up the personality type to research careers: example:  ‘ESTP + careers’</w:t>
            </w:r>
          </w:p>
          <w:p w:rsidR="002A3C09" w:rsidRDefault="002A3C09"/>
        </w:tc>
      </w:tr>
    </w:tbl>
    <w:p w:rsidR="002A3C09" w:rsidRDefault="007E1D87">
      <w:r>
        <w:rPr>
          <w:shd w:val="clear" w:color="auto" w:fill="EEEEEE"/>
        </w:rPr>
        <w:t>Below is the career profile for the above personality type:</w:t>
      </w:r>
    </w:p>
    <w:tbl>
      <w:tblPr>
        <w:tblW w:w="0" w:type="auto"/>
        <w:tblInd w:w="9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41"/>
      </w:tblGrid>
      <w:tr w:rsidR="002A3C09">
        <w:tblPrEx>
          <w:tblCellMar>
            <w:top w:w="0" w:type="dxa"/>
            <w:bottom w:w="0" w:type="dxa"/>
          </w:tblCellMar>
        </w:tblPrEx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3C09" w:rsidRDefault="007E1D87">
            <w:pPr>
              <w:jc w:val="center"/>
            </w:pPr>
            <w:hyperlink r:id="rId6">
              <w:r>
                <w:rPr>
                  <w:color w:val="1155CC"/>
                  <w:sz w:val="20"/>
                  <w:u w:val="single"/>
                  <w:shd w:val="clear" w:color="auto" w:fill="EEEEEE"/>
                </w:rPr>
                <w:t>http://www.personali</w:t>
              </w:r>
              <w:r>
                <w:rPr>
                  <w:color w:val="1155CC"/>
                  <w:sz w:val="20"/>
                  <w:u w:val="single"/>
                  <w:shd w:val="clear" w:color="auto" w:fill="EEEEEE"/>
                </w:rPr>
                <w:t>typage.com</w:t>
              </w:r>
            </w:hyperlink>
            <w:r>
              <w:t>/</w:t>
            </w:r>
            <w:hyperlink r:id="rId7">
              <w:r>
                <w:rPr>
                  <w:color w:val="1155CC"/>
                  <w:sz w:val="20"/>
                  <w:u w:val="single"/>
                  <w:shd w:val="clear" w:color="auto" w:fill="EEEEEE"/>
                </w:rPr>
                <w:t>ESTP_car.html</w:t>
              </w:r>
            </w:hyperlink>
          </w:p>
          <w:p w:rsidR="002A3C09" w:rsidRDefault="002A3C09">
            <w:pPr>
              <w:jc w:val="center"/>
            </w:pPr>
          </w:p>
        </w:tc>
      </w:tr>
    </w:tbl>
    <w:p w:rsidR="002A3C09" w:rsidRDefault="007E1D87">
      <w:r>
        <w:t xml:space="preserve">Next, you could have students research one of the careers suggested for their profile type.  I suggest </w:t>
      </w:r>
      <w:hyperlink r:id="rId8">
        <w:r>
          <w:rPr>
            <w:color w:val="1155CC"/>
            <w:u w:val="single"/>
          </w:rPr>
          <w:t>www.OccupationalOutlookHandbook.com</w:t>
        </w:r>
      </w:hyperlink>
    </w:p>
    <w:p w:rsidR="002A3C09" w:rsidRDefault="002A3C09"/>
    <w:p w:rsidR="002A3C09" w:rsidRDefault="007E1D87">
      <w:r>
        <w:rPr>
          <w:sz w:val="20"/>
          <w:highlight w:val="white"/>
        </w:rPr>
        <w:t xml:space="preserve">Personality Testing - </w:t>
      </w:r>
      <w:r>
        <w:rPr>
          <w:sz w:val="20"/>
          <w:highlight w:val="white"/>
        </w:rPr>
        <w:br/>
        <w:t xml:space="preserve">I have been asked for this information so many times that I finally decided to write it down.  It's been years since I have taught a course where I have used this, but I just took the test myself </w:t>
      </w:r>
      <w:r>
        <w:rPr>
          <w:sz w:val="20"/>
          <w:highlight w:val="white"/>
        </w:rPr>
        <w:t>once again to refresh my mind.  The bulk of this activity can be done in one 40-minute class period, followed by a day of career research on Occupational Outlook Handbook.  I find it interesting that even though my results did not strongly suggest teaching</w:t>
      </w:r>
      <w:r>
        <w:rPr>
          <w:sz w:val="20"/>
          <w:highlight w:val="white"/>
        </w:rPr>
        <w:t xml:space="preserve"> as a career for me, it did peg both of my own kids’ careers as entrepreneurs </w:t>
      </w:r>
      <w:r>
        <w:rPr>
          <w:sz w:val="20"/>
          <w:highlight w:val="white"/>
        </w:rPr>
        <w:lastRenderedPageBreak/>
        <w:t>and marketing/business development.  Possibly that was influenced by my personality type?  My earlier test results, if percentages are taken into consideration, steered me to EST</w:t>
      </w:r>
      <w:r>
        <w:rPr>
          <w:sz w:val="20"/>
          <w:highlight w:val="white"/>
        </w:rPr>
        <w:t>J, which does include teaching.  Teachers are commonly ESTP and ESTJ.  I should mention that my daughter, who does business development, has employers do personality testing as part of the hiring and placement process.  This is something agreed to by the p</w:t>
      </w:r>
      <w:r>
        <w:rPr>
          <w:sz w:val="20"/>
          <w:highlight w:val="white"/>
        </w:rPr>
        <w:t>erson being interviewed.</w:t>
      </w:r>
      <w:r>
        <w:rPr>
          <w:sz w:val="20"/>
          <w:highlight w:val="white"/>
        </w:rPr>
        <w:br/>
      </w:r>
      <w:r>
        <w:rPr>
          <w:sz w:val="20"/>
          <w:highlight w:val="white"/>
        </w:rPr>
        <w:br/>
        <w:t>Sometimes a student may find the results are not a match for them.  In that case, if one of the percentages is close to 50-50, students can substitute the other letter, then BING the new personality type.</w:t>
      </w:r>
      <w:r>
        <w:rPr>
          <w:sz w:val="20"/>
          <w:highlight w:val="white"/>
        </w:rPr>
        <w:br/>
      </w:r>
      <w:r>
        <w:rPr>
          <w:sz w:val="20"/>
          <w:highlight w:val="white"/>
        </w:rPr>
        <w:br/>
        <w:t>I recall one student com</w:t>
      </w:r>
      <w:r>
        <w:rPr>
          <w:sz w:val="20"/>
          <w:highlight w:val="white"/>
        </w:rPr>
        <w:t>menting that there was a little man inside her computer that knew her, so yes, I would say it works!</w:t>
      </w:r>
    </w:p>
    <w:p w:rsidR="002A3C09" w:rsidRDefault="002A3C09"/>
    <w:p w:rsidR="002A3C09" w:rsidRDefault="002A3C09"/>
    <w:p w:rsidR="002A3C09" w:rsidRDefault="002A3C09"/>
    <w:sectPr w:rsidR="002A3C09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</w:compat>
  <w:rsids>
    <w:rsidRoot w:val="002A3C09"/>
    <w:rsid w:val="002A3C09"/>
    <w:rsid w:val="007E1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0"/>
    </w:pPr>
    <w:rPr>
      <w:rFonts w:ascii="Arial" w:eastAsia="Arial" w:hAnsi="Arial" w:cs="Arial"/>
      <w:color w:val="000000"/>
    </w:rPr>
  </w:style>
  <w:style w:type="paragraph" w:styleId="Heading1">
    <w:name w:val="heading 1"/>
    <w:basedOn w:val="Normal"/>
    <w:next w:val="Normal"/>
    <w:pPr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"/>
    <w:next w:val="Normal"/>
    <w:pPr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"/>
    <w:next w:val="Normal"/>
    <w:pPr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"/>
    <w:next w:val="Normal"/>
    <w:pPr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"/>
    <w:next w:val="Normal"/>
    <w:pPr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0"/>
    </w:pPr>
    <w:rPr>
      <w:rFonts w:ascii="Arial" w:eastAsia="Arial" w:hAnsi="Arial" w:cs="Arial"/>
      <w:color w:val="000000"/>
    </w:rPr>
  </w:style>
  <w:style w:type="paragraph" w:styleId="Heading1">
    <w:name w:val="heading 1"/>
    <w:basedOn w:val="Normal"/>
    <w:next w:val="Normal"/>
    <w:pPr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"/>
    <w:next w:val="Normal"/>
    <w:pPr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"/>
    <w:next w:val="Normal"/>
    <w:pPr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"/>
    <w:next w:val="Normal"/>
    <w:pPr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"/>
    <w:next w:val="Normal"/>
    <w:pPr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ccupationaloutlookhandbook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ersonalitypage.com/ESTP_car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ersonalitypage.com/ESTP_car.html" TargetMode="External"/><Relationship Id="rId5" Type="http://schemas.openxmlformats.org/officeDocument/2006/relationships/hyperlink" Target="http://www.similarminds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FACS Personality Testing.docx</vt:lpstr>
    </vt:vector>
  </TitlesOfParts>
  <Company>Washington County School District</Company>
  <LinksUpToDate>false</LinksUpToDate>
  <CharactersWithSpaces>2888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FACS Personality Testing.docx</dc:title>
  <dc:creator>Laura Schiers</dc:creator>
  <cp:lastModifiedBy>Laura Schiers</cp:lastModifiedBy>
  <cp:revision>2</cp:revision>
  <dcterms:created xsi:type="dcterms:W3CDTF">2013-10-09T22:16:00Z</dcterms:created>
  <dcterms:modified xsi:type="dcterms:W3CDTF">2013-10-09T22:16:00Z</dcterms:modified>
</cp:coreProperties>
</file>