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educators create Student Learning Objectives (SLOs). A complete SLO must include the information on Learning Goals, Assessments, and Targets found in the sections provided below. </w:t>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Clothing and Textiles I</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This course introduces students to basic sewing and pressing equipment, textiles, and introductory level project construction techniques. Student leadership (FCCLA) may be an integral part of this course.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9-12</w:t>
            </w:r>
          </w:p>
        </w:tc>
      </w:tr>
    </w:tbl>
    <w:p w:rsidP="00000000" w:rsidRPr="00000000" w:rsidR="00000000" w:rsidDel="00000000" w:rsidRDefault="00000000">
      <w:pPr>
        <w:spacing w:lineRule="auto" w:after="0"/>
        <w:jc w:val="center"/>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Example has been developed by 5 FACS educators </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Shelli Barnum: B.S., 12 years experience</w:t>
              <w:br w:type="textWrapping"/>
              <w:t xml:space="preserve">Holly Rawlins: M.S., 12 years experience</w:t>
              <w:br w:type="textWrapping"/>
              <w:t xml:space="preserve">Natalie Hancock B.S., 5 years experience</w:t>
              <w:br w:type="textWrapping"/>
              <w:t xml:space="preserve">Carolyn Chipman: M.S., 33 years experience</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sz w:val="24"/>
          <w:rtl w:val="0"/>
        </w:rPr>
        <w:tab/>
        <w:tab/>
        <w:tab/>
        <w:tab/>
        <w:tab/>
        <w:tab/>
        <w:tab/>
        <w:tab/>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76" w:before="60"/>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p>
        </w:tc>
      </w:tr>
    </w:tbl>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proposed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Students will correctly interpret the technical language and information presented on the pattern guide sheet and apply accurate pattern layout concepts, follow pattern markings, and correctly cut out the fabric as the beginning steps of clothing construction.</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People who are informed about textiles and construction techniques are more effective consumers.</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text and code of the standards). </w:t>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STANDARD 4</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Students will use pattern envelope and guide sheet/instructions for pre-construction skills at the introductory level.</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Objective 1:</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Identify the information found on the pattern envelope and instruction guide sheet.</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a. Identify important information on the pattern envelope (appropriate size, fabric type,</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notions, and yardage)</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b. Identify important information found on the guide sheet (select pattern pieces, layout,and construction steps)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 Determine pattern size based on body measurements.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Objective 2:</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Complete pattern preparation.</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a. Identify pattern tissue terminology/symbols (straight of grain arrows, notches, small dots, squares, triangles, buttons and buttonholes, cutting line, fold line).</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b. Complete necessary pattern adjustments (length or width).</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Objective 3:</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Correctly layout the pattern pieces on the fabric.</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a. Preshrink fabrics with high cotton content.</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b. Press and straighten grain, if necessary.</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 Check for one-way and/or nap layout.</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d. Identify correct layout.</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e. Check straight of grain.</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f. Double check all pieces before cutting.</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Objective 4:</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Correctly pin and cut out the fabric pieces.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a. Use correct spacing and positioning of pins (pin perpendicular to pattern edge, inside cutting line)</w:t>
            </w:r>
            <w:r w:rsidRPr="00000000" w:rsidR="00000000" w:rsidDel="00000000">
              <w:rPr>
                <w:rtl w:val="0"/>
              </w:rPr>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b. Select and use appropriate cutting tools.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 Cut notches.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d. Keep the fabric as flat as possible when cutting pattern pieces out.</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b w:val="1"/>
                <w:sz w:val="24"/>
                <w:rtl w:val="0"/>
              </w:rPr>
              <w:t xml:space="preserve">Objective 5:</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Correctly mark the necessary pattern markings on the fabric pieces.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a. Identify marking tools and methods.</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b. Select and use the best type of marking for fabric (pins, marking pen/pencil, chalk, tracing wheel and paper)</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able to accurately layout and cut out a pattern is the beginning and basic foundation of clothing construction.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u w:val="single"/>
                <w:rtl w:val="0"/>
              </w:rPr>
              <w:t xml:space="preserve">Integrated Math Concepts:</w:t>
            </w:r>
            <w:r w:rsidRPr="00000000" w:rsidR="00000000" w:rsidDel="00000000">
              <w:rPr>
                <w:rtl w:val="0"/>
              </w:rPr>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Students will use multi‐step, real‐life mathematical problems to determine cost and amount of needed fabric, supplies, and notions.  Students will take body measurements using halves and fourths of an inch to determine needed size of pattern.  Students will use parallel and perpendicular line principles in order to demonstrate correct pattern layout according to straight grain techniques.  Students may need to convert fractions to decimal equivalents throughout these steps.</w:t>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u w:val="single"/>
                <w:rtl w:val="0"/>
              </w:rPr>
              <w:t xml:space="preserve">Integrated Language Arts:</w:t>
            </w:r>
          </w:p>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sz w:val="24"/>
                <w:rtl w:val="0"/>
              </w:rPr>
              <w:t xml:space="preserve">Students will interpret technical language and charts to determine appropriate pattern size, fabric type, notions, and yardage.  In demonstrating pattern layout and cut out, s</w:t>
            </w:r>
            <w:r w:rsidRPr="00000000" w:rsidR="00000000" w:rsidDel="00000000">
              <w:rPr>
                <w:rFonts w:cs="Times New Roman" w:hAnsi="Times New Roman" w:eastAsia="Times New Roman" w:ascii="Times New Roman"/>
                <w:sz w:val="24"/>
                <w:rtl w:val="0"/>
              </w:rPr>
              <w:t xml:space="preserve">tudents will interpret and utilize the meaning of marking methods and key terms related to notions, fabric grain, and pattern symbols.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 / big idea being measured.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Level two depth of knowledge is required for students to demonstrate the ability to read a pattern envelope and interpret the technical language on the pattern guide sheet. They will apply their knowledge of pattern reading to correctly layout and cut out the fabric. These are the beginning stages of clothing construction and without this knowledge students would be unable to correctly construct an article of clothing.</w:t>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provide hands-on demonstrations on how to read the pattern guide sheet, apply accurate pattern layout concepts, follow pattern markings, and correctly cut out the fabric. Multi-media presentations, class discussions, and teacher lecture will be used to teach students how to accurately read and interpret the technical language of commercial patterns.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Approximately 4 class periods (70 minutes) will be spent in teaching and learning about interpreting the technical language of commercial patterns. Included in those 4 days would be hands-on lab experiences to reinforce concepts identified above.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This time span is appropriate and sufficient because it provides students with critical and foundational teaching and learning activities, as well as lab time needed for implementation of principles taught.</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w:t>
            </w:r>
            <w:r w:rsidRPr="00000000" w:rsidR="00000000" w:rsidDel="00000000">
              <w:rPr>
                <w:rFonts w:cs="Times New Roman" w:hAnsi="Times New Roman" w:eastAsia="Times New Roman" w:ascii="Times New Roman"/>
                <w:sz w:val="24"/>
                <w:rtl w:val="0"/>
              </w:rPr>
              <w:t xml:space="preserve"> should be standards-based, of high quality, and designed to best measure the knowledge and skills found in the Learning Goal of the SLO. The </w:t>
            </w:r>
            <w:r w:rsidRPr="00000000" w:rsidR="00000000" w:rsidDel="00000000">
              <w:rPr>
                <w:rFonts w:cs="Times New Roman" w:hAnsi="Times New Roman" w:eastAsia="Times New Roman" w:ascii="Times New Roman"/>
                <w:b w:val="1"/>
                <w:sz w:val="24"/>
                <w:rtl w:val="0"/>
              </w:rPr>
              <w:t xml:space="preserve">assessmen</w:t>
            </w:r>
            <w:r w:rsidRPr="00000000" w:rsidR="00000000" w:rsidDel="00000000">
              <w:rPr>
                <w:rFonts w:cs="Times New Roman" w:hAnsi="Times New Roman" w:eastAsia="Times New Roman" w:ascii="Times New Roman"/>
                <w:sz w:val="24"/>
                <w:rtl w:val="0"/>
              </w:rPr>
              <w:t xml:space="preserve">t should be accompanied by clear criteria or rubrics to describe what students have learned.</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monitor and evaluate student progress using a criteria list to ensure correct application of the techniques. </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criteria list could include the following items: straightness of grain arrows, grain of fabric, nap, fold, pin position, bias, etc. Items will be checked off as correct or incorrect. Incorrect items must be corrected before students can move on to the next step.</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you will collect data to monitor student progress toward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 progress will be monitored and evaluated through the use of formative assessments (paper worksheets and samples) prior to moving on to the summative assessment (sewing project) in approximately four 70 minute class periods. During the summative assessment, criteria list items must be checked off before students proceed to next step.</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use the criteria list to sign off each student’s progress at the end of the class period, allowing the teacher to assess individual student progress. The teacher will use this information to adjust curriculum instruction. For students who need additional time and assistance, individualized instruction and/or peer tutoring support will be provided. Advanced students can pass off their criteria list more rapidly and proceed with construction of their project, in addition to having the opportunity to complete more complicated projects in the future.  </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for the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accurately read the technical language of patterns to layout commercial patterns, transfer the pattern markings to the fabric, and cut out their fabric for their sewing project. Students will record their progress on a daily log which will be checked off with their instructor during the last five minutes of each day.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ab/>
              <w:tab/>
              <w:tab/>
              <w:tab/>
              <w:tab/>
              <w:tab/>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ab/>
              <w:tab/>
              <w:tab/>
              <w:tab/>
              <w:tab/>
              <w:t xml:space="preserve"> </w:t>
              <w:tab/>
              <w:tab/>
              <w:tab/>
              <w:tab/>
            </w:r>
          </w:p>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sz w:val="24"/>
                <w:rtl w:val="0"/>
              </w:rPr>
              <w:tab/>
              <w:tab/>
              <w:tab/>
            </w:r>
          </w:p>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sz w:val="24"/>
                <w:rtl w:val="0"/>
              </w:rPr>
              <w:tab/>
              <w:tab/>
            </w:r>
          </w:p>
          <w:p w:rsidP="00000000" w:rsidRPr="00000000" w:rsidR="00000000" w:rsidDel="00000000" w:rsidRDefault="00000000">
            <w:pPr>
              <w:spacing w:lineRule="auto" w:after="60" w:line="240" w:before="60"/>
              <w:jc w:val="center"/>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Targets Used to Establish Educator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w:t>
            </w:r>
            <w:r w:rsidRPr="00000000" w:rsidR="00000000" w:rsidDel="00000000">
              <w:rPr>
                <w:rFonts w:cs="Times New Roman" w:hAnsi="Times New Roman" w:eastAsia="Times New Roman" w:ascii="Times New Roman"/>
                <w:sz w:val="24"/>
                <w:rtl w:val="0"/>
              </w:rPr>
              <w:t xml:space="preserve"> for students’ understanding of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At the beginning of the course, students will be given a pre-assessment to determine their current knowledge base. The pre-assessment examines students’ knowledge of pattern reading, layout, markings, and cutting techniques. Test bank questions for this pre-assessment are available on the Utah State Core UTIPS website.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w:t>
            </w:r>
            <w:r w:rsidRPr="00000000" w:rsidR="00000000" w:rsidDel="00000000">
              <w:rPr>
                <w:rFonts w:cs="Times New Roman" w:hAnsi="Times New Roman" w:eastAsia="Times New Roman" w:ascii="Times New Roman"/>
                <w:sz w:val="24"/>
                <w:rtl w:val="0"/>
              </w:rPr>
              <w:t xml:space="preserve"> (e.g.,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w:t>
            </w:r>
            <w:r w:rsidRPr="00000000" w:rsidR="00000000" w:rsidDel="00000000">
              <w:rPr>
                <w:rFonts w:cs="Times New Roman" w:hAnsi="Times New Roman" w:eastAsia="Times New Roman" w:ascii="Times New Roman"/>
                <w:sz w:val="24"/>
                <w:rtl w:val="0"/>
              </w:rPr>
              <w:t xml:space="preserve"> as their starting points.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To be determined by classroom teacher once pre-assessment has been administered.</w:t>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 </w:t>
            </w:r>
          </w:p>
        </w:tc>
        <w:tc>
          <w:tcPr>
            <w:tcMar>
              <w:top w:w="100.0" w:type="dxa"/>
              <w:left w:w="100.0" w:type="dxa"/>
              <w:bottom w:w="100.0" w:type="dxa"/>
              <w:right w:w="100.0" w:type="dxa"/>
            </w:tcMar>
          </w:tcPr>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sz w:val="24"/>
                <w:rtl w:val="0"/>
              </w:rPr>
              <w:t xml:space="preserve">Based on the pre-assessment, students will be grouped into three groups (low, proficient, advanced).</w:t>
            </w:r>
          </w:p>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sz w:val="24"/>
                <w:rtl w:val="0"/>
              </w:rPr>
              <w:t xml:space="preserve">% of students will remain in the low group</w:t>
            </w:r>
          </w:p>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sz w:val="24"/>
                <w:rtl w:val="0"/>
              </w:rPr>
              <w:t xml:space="preserve">% of students will progress or remain in the proficient group</w:t>
            </w:r>
          </w:p>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sz w:val="24"/>
                <w:rtl w:val="0"/>
              </w:rPr>
              <w:t xml:space="preserve">% of students will progress or remain in the advanced group</w:t>
            </w:r>
          </w:p>
          <w:p w:rsidP="00000000" w:rsidRPr="00000000" w:rsidR="00000000" w:rsidDel="00000000" w:rsidRDefault="00000000">
            <w:pPr>
              <w:spacing w:lineRule="auto" w:line="276"/>
            </w:pPr>
            <w:r w:rsidRPr="00000000" w:rsidR="00000000" w:rsidDel="00000000">
              <w:rPr>
                <w:rFonts w:cs="Times New Roman" w:hAnsi="Times New Roman" w:eastAsia="Times New Roman" w:ascii="Times New Roman"/>
                <w:sz w:val="24"/>
                <w:rtl w:val="0"/>
              </w:rPr>
              <w:br w:type="textWrapping"/>
              <w:t xml:space="preserve">To be determined by the classroom teacher, after the pre-assessment has been administered.</w:t>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and / or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To be determined by classroom teacher once pre-assessment has been administered.</w:t>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or percentage</w:t>
            </w:r>
            <w:r w:rsidRPr="00000000" w:rsidR="00000000" w:rsidDel="00000000">
              <w:rPr>
                <w:rFonts w:cs="Times New Roman" w:hAnsi="Times New Roman" w:eastAsia="Times New Roman" w:ascii="Times New Roman"/>
                <w:sz w:val="24"/>
                <w:rtl w:val="0"/>
              </w:rPr>
              <w:t xml:space="preserve"> of students who achieved the Targets.  Be sure to include any appropriate subgroups as noted above.</w:t>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educator ratings</w:t>
      </w:r>
      <w:r w:rsidRPr="00000000" w:rsidR="00000000" w:rsidDel="00000000">
        <w:rPr>
          <w:rFonts w:cs="Times New Roman" w:hAnsi="Times New Roman" w:eastAsia="Times New Roman" w:ascii="Times New Roman"/>
          <w:sz w:val="24"/>
          <w:rtl w:val="0"/>
        </w:rPr>
        <w:t xml:space="preserve">: The table below is to be used by the administrator/ supervisor reviewing the SLO to document the educator rating based on the Targets that were established.</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p>
        </w:tc>
        <w:tc>
          <w:tcPr>
            <w:tcMar>
              <w:top w:w="100.0" w:type="dxa"/>
              <w:left w:w="108.0" w:type="dxa"/>
              <w:bottom w:w="100.0" w:type="dxa"/>
              <w:right w:w="108.0" w:type="dxa"/>
            </w:tcMar>
          </w:tcPr>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Does Not Meet</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Partially 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sz w:val="24"/>
                <w:u w:val="single"/>
                <w:rtl w:val="0"/>
              </w:rPr>
              <w:t xml:space="preserve">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Exceeds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Administrator/Supervisor comments:</w:t>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(the signature does not necessarily indicate agreement with the rating)</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Center for Assessment’s SLO Toolkit (2013) – </w:t>
    </w:r>
    <w:r w:rsidRPr="00000000" w:rsidR="00000000" w:rsidDel="00000000">
      <w:rPr>
        <w:rFonts w:cs="Times New Roman" w:hAnsi="Times New Roman" w:eastAsia="Times New Roman" w:ascii="Times New Roman"/>
        <w:b w:val="1"/>
        <w:sz w:val="22"/>
        <w:rtl w:val="0"/>
      </w:rPr>
      <w:t xml:space="preserve">(Revised for Utah 4-15-13)</w:t>
    </w:r>
    <w:r w:rsidRPr="00000000" w:rsidR="00000000" w:rsidDel="00000000">
      <w:rPr>
        <w:rFonts w:cs="Times New Roman" w:hAnsi="Times New Roman" w:eastAsia="Times New Roman" w:ascii="Times New Roman"/>
        <w:sz w:val="22"/>
        <w:rtl w:val="0"/>
      </w:rPr>
      <w:t xml:space="preserve">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rated as high quality using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Clothing I SLO.docx</dc:title>
</cp:coreProperties>
</file>