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Pr/>
      </w:pPr>
      <w:r w:rsidRPr="00000000" w:rsidR="00000000" w:rsidDel="00000000">
        <w:rPr>
          <w:sz w:val="20"/>
          <w:rtl w:val="0"/>
        </w:rPr>
        <w:t xml:space="preserve">Name: ____________________________________________________   </w:t>
        <w:tab/>
        <w:tab/>
        <w:t xml:space="preserve">Period:___________</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jc w:val="center"/>
        <w:rPr/>
      </w:pPr>
      <w:r w:rsidRPr="00000000" w:rsidR="00000000" w:rsidDel="00000000">
        <w:rPr>
          <w:b w:val="1"/>
          <w:sz w:val="28"/>
          <w:rtl w:val="0"/>
        </w:rPr>
        <w:t xml:space="preserve">Criteria List For The Color Wheel</w:t>
      </w:r>
    </w:p>
    <w:p w:rsidP="00000000" w:rsidRPr="00000000" w:rsidR="00000000" w:rsidDel="00000000" w:rsidRDefault="00000000">
      <w:pPr>
        <w:jc w:val="center"/>
        <w:rPr/>
      </w:pPr>
      <w:r w:rsidRPr="00000000" w:rsidR="00000000" w:rsidDel="00000000">
        <w:rPr>
          <w:sz w:val="24"/>
          <w:rtl w:val="0"/>
        </w:rPr>
        <w:t xml:space="preserve">Interior Design</w:t>
      </w:r>
      <w:r w:rsidRPr="00000000" w:rsidR="00000000" w:rsidDel="00000000">
        <w:rPr>
          <w:rtl w:val="0"/>
        </w:rPr>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sz w:val="24"/>
          <w:rtl w:val="0"/>
        </w:rPr>
        <w:t xml:space="preserve">Use the following criteria list to sign off each student’s progress. As the student progresses through the criteria list items, check the student as either “yes” they have completed the identified task, or “no” they have not completed the identified task. All criteria items must receive a “yes” from the instructor before the student is completed with the assignment.</w:t>
      </w:r>
    </w:p>
    <w:p w:rsidP="00000000" w:rsidRPr="00000000" w:rsidR="00000000" w:rsidDel="00000000" w:rsidRDefault="00000000">
      <w:pPr>
        <w:rPr/>
      </w:pPr>
      <w:r w:rsidRPr="00000000" w:rsidR="00000000" w:rsidDel="00000000">
        <w:rPr>
          <w:rtl w:val="0"/>
        </w:rPr>
      </w:r>
    </w:p>
    <w:tbl>
      <w:tblPr>
        <w:tblW w:w="936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6600"/>
        <w:gridCol w:w="1365"/>
        <w:gridCol w:w="1395"/>
      </w:tblGrid>
      <w:tr>
        <w:tc>
          <w:tcPr>
            <w:tcMar>
              <w:top w:w="100.0" w:type="dxa"/>
              <w:left w:w="100.0" w:type="dxa"/>
              <w:bottom w:w="100.0" w:type="dxa"/>
              <w:right w:w="100.0" w:type="dxa"/>
            </w:tcMar>
          </w:tcPr>
          <w:p w:rsidP="00000000" w:rsidRPr="00000000" w:rsidR="00000000" w:rsidDel="00000000" w:rsidRDefault="00000000">
            <w:pPr>
              <w:spacing w:lineRule="auto" w:line="240"/>
              <w:jc w:val="center"/>
              <w:rPr/>
            </w:pPr>
            <w:r w:rsidRPr="00000000" w:rsidR="00000000" w:rsidDel="00000000">
              <w:rPr>
                <w:b w:val="1"/>
                <w:sz w:val="20"/>
                <w:rtl w:val="0"/>
              </w:rPr>
              <w:t xml:space="preserve">Criteria List</w:t>
            </w:r>
          </w:p>
        </w:tc>
        <w:tc>
          <w:tcPr>
            <w:tcMar>
              <w:top w:w="100.0" w:type="dxa"/>
              <w:left w:w="100.0" w:type="dxa"/>
              <w:bottom w:w="100.0" w:type="dxa"/>
              <w:right w:w="100.0" w:type="dxa"/>
            </w:tcMar>
          </w:tcPr>
          <w:p w:rsidP="00000000" w:rsidRPr="00000000" w:rsidR="00000000" w:rsidDel="00000000" w:rsidRDefault="00000000">
            <w:pPr>
              <w:spacing w:lineRule="auto" w:line="240"/>
              <w:jc w:val="center"/>
              <w:rPr/>
            </w:pPr>
            <w:r w:rsidRPr="00000000" w:rsidR="00000000" w:rsidDel="00000000">
              <w:rPr>
                <w:b w:val="1"/>
                <w:sz w:val="20"/>
                <w:rtl w:val="0"/>
              </w:rPr>
              <w:t xml:space="preserve">Yes</w:t>
            </w:r>
          </w:p>
        </w:tc>
        <w:tc>
          <w:tcPr>
            <w:tcMar>
              <w:top w:w="100.0" w:type="dxa"/>
              <w:left w:w="100.0" w:type="dxa"/>
              <w:bottom w:w="100.0" w:type="dxa"/>
              <w:right w:w="100.0" w:type="dxa"/>
            </w:tcMar>
          </w:tcPr>
          <w:p w:rsidP="00000000" w:rsidRPr="00000000" w:rsidR="00000000" w:rsidDel="00000000" w:rsidRDefault="00000000">
            <w:pPr>
              <w:spacing w:lineRule="auto" w:line="240"/>
              <w:jc w:val="center"/>
              <w:rPr/>
            </w:pPr>
            <w:r w:rsidRPr="00000000" w:rsidR="00000000" w:rsidDel="00000000">
              <w:rPr>
                <w:b w:val="1"/>
                <w:sz w:val="20"/>
                <w:rtl w:val="0"/>
              </w:rPr>
              <w:t xml:space="preserve">No</w:t>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All 12 colors are represented on the color wheel.</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Color creations of secondary and tertiary/intermediate colors are correct.</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Placement of colors on the wheel is correct.</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Primary colors are identified correctly on the color wheel.</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Secondary colors are identified correctly on the color wheel.</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Tertiary/Intermediate colors are identified correctly on the color wheel.</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Warm colors are identified correctly on the color wheel.</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sz w:val="20"/>
                <w:rtl w:val="0"/>
              </w:rPr>
              <w:t xml:space="preserve">Cool colors are identified correctly on the color wheel.</w:t>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rPr/>
            </w:pPr>
            <w:r w:rsidRPr="00000000" w:rsidR="00000000" w:rsidDel="00000000">
              <w:rPr>
                <w:rtl w:val="0"/>
              </w:rPr>
            </w:r>
          </w:p>
        </w:tc>
      </w:tr>
    </w:tbl>
    <w:p w:rsidP="00000000" w:rsidRPr="00000000" w:rsidR="00000000" w:rsidDel="00000000" w:rsidRDefault="00000000">
      <w:pPr>
        <w:spacing w:lineRule="auto" w:after="60" w:line="240" w:before="60"/>
        <w:rPr/>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Interior Design I SLO - Grading Assessment.docx</dc:title>
</cp:coreProperties>
</file>